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E4E" w:rsidRDefault="006D6E4E" w:rsidP="006D6E4E">
      <w:pPr>
        <w:widowControl w:val="0"/>
        <w:spacing w:after="120" w:line="240" w:lineRule="auto"/>
        <w:outlineLvl w:val="0"/>
        <w:rPr>
          <w:rFonts w:ascii="Arial" w:eastAsia="Calibri" w:hAnsi="Arial" w:cs="Arial"/>
          <w:b/>
          <w:bCs/>
          <w:sz w:val="32"/>
          <w:szCs w:val="24"/>
        </w:rPr>
      </w:pPr>
      <w:bookmarkStart w:id="0" w:name="_GoBack"/>
      <w:bookmarkEnd w:id="0"/>
      <w:r>
        <w:rPr>
          <w:rFonts w:ascii="Arial" w:eastAsia="Calibri" w:hAnsi="Arial" w:cs="Arial"/>
          <w:b/>
          <w:bCs/>
          <w:sz w:val="32"/>
          <w:szCs w:val="24"/>
        </w:rPr>
        <w:t>Prepared for the NICC FMLT May 4, 2016</w:t>
      </w:r>
    </w:p>
    <w:p w:rsidR="006D6E4E" w:rsidRDefault="006D6E4E" w:rsidP="006D6E4E">
      <w:pPr>
        <w:widowControl w:val="0"/>
        <w:spacing w:after="120" w:line="240" w:lineRule="auto"/>
        <w:outlineLvl w:val="0"/>
        <w:rPr>
          <w:rFonts w:ascii="Arial" w:eastAsia="Calibri" w:hAnsi="Arial" w:cs="Arial"/>
          <w:b/>
          <w:bCs/>
          <w:sz w:val="32"/>
          <w:szCs w:val="24"/>
        </w:rPr>
      </w:pPr>
    </w:p>
    <w:p w:rsidR="00AF284B" w:rsidRDefault="006D6E4E" w:rsidP="006D6E4E">
      <w:pPr>
        <w:widowControl w:val="0"/>
        <w:spacing w:after="120" w:line="240" w:lineRule="auto"/>
        <w:outlineLvl w:val="0"/>
        <w:rPr>
          <w:rFonts w:ascii="Arial" w:eastAsia="Calibri" w:hAnsi="Arial" w:cs="Arial"/>
          <w:b/>
          <w:bCs/>
          <w:sz w:val="32"/>
          <w:szCs w:val="24"/>
        </w:rPr>
      </w:pPr>
      <w:r w:rsidRPr="003C5818">
        <w:rPr>
          <w:rFonts w:ascii="Arial" w:eastAsia="Calibri" w:hAnsi="Arial" w:cs="Arial"/>
          <w:b/>
          <w:bCs/>
          <w:sz w:val="32"/>
          <w:szCs w:val="24"/>
        </w:rPr>
        <w:t>G</w:t>
      </w:r>
      <w:r w:rsidR="00AF284B">
        <w:rPr>
          <w:rFonts w:ascii="Arial" w:eastAsia="Calibri" w:hAnsi="Arial" w:cs="Arial"/>
          <w:b/>
          <w:bCs/>
          <w:sz w:val="32"/>
          <w:szCs w:val="24"/>
        </w:rPr>
        <w:t xml:space="preserve">reat </w:t>
      </w:r>
      <w:r w:rsidRPr="003C5818">
        <w:rPr>
          <w:rFonts w:ascii="Arial" w:eastAsia="Calibri" w:hAnsi="Arial" w:cs="Arial"/>
          <w:b/>
          <w:bCs/>
          <w:sz w:val="32"/>
          <w:szCs w:val="24"/>
        </w:rPr>
        <w:t>B</w:t>
      </w:r>
      <w:r w:rsidR="00AF284B">
        <w:rPr>
          <w:rFonts w:ascii="Arial" w:eastAsia="Calibri" w:hAnsi="Arial" w:cs="Arial"/>
          <w:b/>
          <w:bCs/>
          <w:sz w:val="32"/>
          <w:szCs w:val="24"/>
        </w:rPr>
        <w:t xml:space="preserve">ear </w:t>
      </w:r>
      <w:r w:rsidRPr="003C5818">
        <w:rPr>
          <w:rFonts w:ascii="Arial" w:eastAsia="Calibri" w:hAnsi="Arial" w:cs="Arial"/>
          <w:b/>
          <w:bCs/>
          <w:sz w:val="32"/>
          <w:szCs w:val="24"/>
        </w:rPr>
        <w:t>R</w:t>
      </w:r>
      <w:r w:rsidR="00AF284B">
        <w:rPr>
          <w:rFonts w:ascii="Arial" w:eastAsia="Calibri" w:hAnsi="Arial" w:cs="Arial"/>
          <w:b/>
          <w:bCs/>
          <w:sz w:val="32"/>
          <w:szCs w:val="24"/>
        </w:rPr>
        <w:t xml:space="preserve">ainforest </w:t>
      </w:r>
      <w:r w:rsidRPr="003C5818">
        <w:rPr>
          <w:rFonts w:ascii="Arial" w:eastAsia="Calibri" w:hAnsi="Arial" w:cs="Arial"/>
          <w:b/>
          <w:bCs/>
          <w:sz w:val="32"/>
          <w:szCs w:val="24"/>
        </w:rPr>
        <w:t>F</w:t>
      </w:r>
      <w:r w:rsidR="00AF284B">
        <w:rPr>
          <w:rFonts w:ascii="Arial" w:eastAsia="Calibri" w:hAnsi="Arial" w:cs="Arial"/>
          <w:b/>
          <w:bCs/>
          <w:sz w:val="32"/>
          <w:szCs w:val="24"/>
        </w:rPr>
        <w:t xml:space="preserve">orest </w:t>
      </w:r>
      <w:r w:rsidRPr="003C5818">
        <w:rPr>
          <w:rFonts w:ascii="Arial" w:eastAsia="Calibri" w:hAnsi="Arial" w:cs="Arial"/>
          <w:b/>
          <w:bCs/>
          <w:sz w:val="32"/>
          <w:szCs w:val="24"/>
        </w:rPr>
        <w:t>M</w:t>
      </w:r>
      <w:r w:rsidR="00AF284B">
        <w:rPr>
          <w:rFonts w:ascii="Arial" w:eastAsia="Calibri" w:hAnsi="Arial" w:cs="Arial"/>
          <w:b/>
          <w:bCs/>
          <w:sz w:val="32"/>
          <w:szCs w:val="24"/>
        </w:rPr>
        <w:t xml:space="preserve">anagement </w:t>
      </w:r>
      <w:r w:rsidRPr="003C5818">
        <w:rPr>
          <w:rFonts w:ascii="Arial" w:eastAsia="Calibri" w:hAnsi="Arial" w:cs="Arial"/>
          <w:b/>
          <w:bCs/>
          <w:sz w:val="32"/>
          <w:szCs w:val="24"/>
        </w:rPr>
        <w:t>A</w:t>
      </w:r>
      <w:r w:rsidR="00AF284B">
        <w:rPr>
          <w:rFonts w:ascii="Arial" w:eastAsia="Calibri" w:hAnsi="Arial" w:cs="Arial"/>
          <w:b/>
          <w:bCs/>
          <w:sz w:val="32"/>
          <w:szCs w:val="24"/>
        </w:rPr>
        <w:t>ct</w:t>
      </w:r>
      <w:r w:rsidRPr="003C5818">
        <w:rPr>
          <w:rFonts w:ascii="Arial" w:eastAsia="Calibri" w:hAnsi="Arial" w:cs="Arial"/>
          <w:b/>
          <w:bCs/>
          <w:sz w:val="32"/>
          <w:szCs w:val="24"/>
        </w:rPr>
        <w:t xml:space="preserve"> – </w:t>
      </w:r>
    </w:p>
    <w:p w:rsidR="006D6E4E" w:rsidRPr="003C5818" w:rsidRDefault="006D6E4E" w:rsidP="006D6E4E">
      <w:pPr>
        <w:widowControl w:val="0"/>
        <w:spacing w:after="120" w:line="240" w:lineRule="auto"/>
        <w:outlineLvl w:val="0"/>
        <w:rPr>
          <w:rFonts w:ascii="Arial" w:eastAsia="Calibri" w:hAnsi="Arial" w:cs="Arial"/>
          <w:b/>
          <w:bCs/>
          <w:sz w:val="32"/>
          <w:szCs w:val="24"/>
        </w:rPr>
      </w:pPr>
      <w:r w:rsidRPr="003C5818">
        <w:rPr>
          <w:rFonts w:ascii="Arial" w:eastAsia="Calibri" w:hAnsi="Arial" w:cs="Arial"/>
          <w:b/>
          <w:bCs/>
          <w:sz w:val="32"/>
          <w:szCs w:val="24"/>
        </w:rPr>
        <w:t>Frequently Asked Questions</w:t>
      </w:r>
    </w:p>
    <w:p w:rsidR="006D6E4E" w:rsidRPr="003C5818" w:rsidRDefault="006D6E4E" w:rsidP="006D6E4E">
      <w:pPr>
        <w:spacing w:after="160"/>
        <w:rPr>
          <w:rFonts w:ascii="Arial" w:eastAsia="Calibri" w:hAnsi="Arial" w:cs="Arial"/>
          <w:bCs/>
          <w:sz w:val="24"/>
          <w:szCs w:val="24"/>
          <w:lang w:val="en-US"/>
        </w:rPr>
      </w:pPr>
    </w:p>
    <w:p w:rsidR="006D6E4E" w:rsidRPr="003C5818" w:rsidRDefault="006D6E4E" w:rsidP="006D6E4E">
      <w:pPr>
        <w:spacing w:after="160"/>
        <w:rPr>
          <w:rFonts w:eastAsia="Calibri" w:cs="Arial"/>
          <w:b/>
          <w:bCs/>
          <w:sz w:val="24"/>
          <w:szCs w:val="24"/>
          <w:u w:val="single"/>
        </w:rPr>
      </w:pPr>
      <w:r w:rsidRPr="003C5818">
        <w:rPr>
          <w:rFonts w:eastAsia="Calibri" w:cs="Arial"/>
          <w:b/>
          <w:bCs/>
          <w:sz w:val="24"/>
          <w:szCs w:val="24"/>
          <w:u w:val="single"/>
        </w:rPr>
        <w:t>Purpose</w:t>
      </w:r>
    </w:p>
    <w:p w:rsidR="006D6E4E" w:rsidRPr="00692FF3" w:rsidRDefault="006D6E4E" w:rsidP="006D6E4E">
      <w:pPr>
        <w:spacing w:after="160"/>
        <w:rPr>
          <w:rFonts w:eastAsia="Calibri" w:cs="Arial"/>
          <w:b/>
          <w:sz w:val="24"/>
          <w:szCs w:val="24"/>
          <w:lang w:val="en-US"/>
        </w:rPr>
      </w:pPr>
      <w:r w:rsidRPr="00692FF3">
        <w:rPr>
          <w:rFonts w:eastAsia="Calibri" w:cs="Arial"/>
          <w:b/>
          <w:sz w:val="24"/>
          <w:szCs w:val="24"/>
          <w:lang w:val="en-US"/>
        </w:rPr>
        <w:t xml:space="preserve">What does this Act do? </w:t>
      </w:r>
    </w:p>
    <w:p w:rsidR="006D6E4E" w:rsidRPr="00692FF3" w:rsidRDefault="006D6E4E" w:rsidP="006D6E4E">
      <w:pPr>
        <w:spacing w:after="160"/>
        <w:rPr>
          <w:rFonts w:cs="Arial"/>
          <w:sz w:val="24"/>
          <w:szCs w:val="24"/>
          <w:lang w:val="en-GB"/>
        </w:rPr>
      </w:pPr>
      <w:r>
        <w:rPr>
          <w:rFonts w:cs="Arial"/>
          <w:sz w:val="24"/>
          <w:szCs w:val="24"/>
          <w:lang w:val="en-GB"/>
        </w:rPr>
        <w:t>The</w:t>
      </w:r>
      <w:r w:rsidRPr="00692FF3">
        <w:rPr>
          <w:rFonts w:cs="Arial"/>
          <w:sz w:val="24"/>
          <w:szCs w:val="24"/>
          <w:lang w:val="en-GB"/>
        </w:rPr>
        <w:t xml:space="preserve"> new</w:t>
      </w:r>
      <w:r>
        <w:rPr>
          <w:rFonts w:cs="Arial"/>
          <w:sz w:val="24"/>
          <w:szCs w:val="24"/>
          <w:lang w:val="en-GB"/>
        </w:rPr>
        <w:t xml:space="preserve"> Great Bear Rainforest (Forest Management)</w:t>
      </w:r>
      <w:r w:rsidRPr="00692FF3">
        <w:rPr>
          <w:rFonts w:cs="Arial"/>
          <w:sz w:val="24"/>
          <w:szCs w:val="24"/>
          <w:lang w:val="en-GB"/>
        </w:rPr>
        <w:t xml:space="preserve"> Act </w:t>
      </w:r>
      <w:r>
        <w:rPr>
          <w:rFonts w:cs="Arial"/>
          <w:sz w:val="24"/>
          <w:szCs w:val="24"/>
          <w:lang w:val="en-GB"/>
        </w:rPr>
        <w:t xml:space="preserve">(GBRFMA) </w:t>
      </w:r>
      <w:r w:rsidRPr="00692FF3">
        <w:rPr>
          <w:rFonts w:cs="Arial"/>
          <w:sz w:val="24"/>
          <w:szCs w:val="24"/>
          <w:lang w:val="en-GB"/>
        </w:rPr>
        <w:t>support</w:t>
      </w:r>
      <w:r>
        <w:rPr>
          <w:rFonts w:cs="Arial"/>
          <w:sz w:val="24"/>
          <w:szCs w:val="24"/>
          <w:lang w:val="en-GB"/>
        </w:rPr>
        <w:t>s</w:t>
      </w:r>
      <w:r w:rsidRPr="00692FF3">
        <w:rPr>
          <w:rFonts w:cs="Arial"/>
          <w:sz w:val="24"/>
          <w:szCs w:val="24"/>
          <w:lang w:val="en-GB"/>
        </w:rPr>
        <w:t xml:space="preserve"> implementation of unique ecosystem-based management rules in the Great Bear Rainforest while ensuring normal rules under the </w:t>
      </w:r>
      <w:r w:rsidRPr="00692FF3">
        <w:rPr>
          <w:rFonts w:cs="Arial"/>
          <w:i/>
          <w:sz w:val="24"/>
          <w:szCs w:val="24"/>
          <w:lang w:val="en-GB"/>
        </w:rPr>
        <w:t>Forest Act</w:t>
      </w:r>
      <w:r w:rsidRPr="00692FF3">
        <w:rPr>
          <w:rFonts w:cs="Arial"/>
          <w:sz w:val="24"/>
          <w:szCs w:val="24"/>
          <w:lang w:val="en-GB"/>
        </w:rPr>
        <w:t xml:space="preserve"> still apply.</w:t>
      </w:r>
    </w:p>
    <w:p w:rsidR="006D6E4E" w:rsidRPr="00692FF3" w:rsidRDefault="006D6E4E" w:rsidP="006D6E4E">
      <w:pPr>
        <w:spacing w:after="160"/>
        <w:rPr>
          <w:rFonts w:eastAsia="Calibri" w:cs="Arial"/>
          <w:sz w:val="24"/>
          <w:szCs w:val="24"/>
          <w:lang w:val="en-US"/>
        </w:rPr>
      </w:pPr>
      <w:r>
        <w:rPr>
          <w:rFonts w:eastAsia="Calibri" w:cs="Arial"/>
          <w:sz w:val="24"/>
          <w:szCs w:val="24"/>
          <w:lang w:val="en-US"/>
        </w:rPr>
        <w:t xml:space="preserve">Under the Act, </w:t>
      </w:r>
      <w:r w:rsidRPr="00692FF3">
        <w:rPr>
          <w:rFonts w:eastAsia="Calibri" w:cs="Arial"/>
          <w:sz w:val="24"/>
          <w:szCs w:val="24"/>
          <w:lang w:val="en-US"/>
        </w:rPr>
        <w:t>a Great Bear Rainforest Forest Management Area</w:t>
      </w:r>
      <w:r>
        <w:rPr>
          <w:rFonts w:eastAsia="Calibri" w:cs="Arial"/>
          <w:sz w:val="24"/>
          <w:szCs w:val="24"/>
          <w:lang w:val="en-US"/>
        </w:rPr>
        <w:t xml:space="preserve"> is established</w:t>
      </w:r>
      <w:r w:rsidRPr="00692FF3">
        <w:rPr>
          <w:rFonts w:eastAsia="Calibri" w:cs="Arial"/>
          <w:sz w:val="24"/>
          <w:szCs w:val="24"/>
          <w:lang w:val="en-US"/>
        </w:rPr>
        <w:t>, and a maximum allowable annual cut of 2.5 million cubic metres per year for 10 years</w:t>
      </w:r>
      <w:r>
        <w:rPr>
          <w:rFonts w:eastAsia="Calibri" w:cs="Arial"/>
          <w:sz w:val="24"/>
          <w:szCs w:val="24"/>
          <w:lang w:val="en-US"/>
        </w:rPr>
        <w:t xml:space="preserve"> is assigned</w:t>
      </w:r>
      <w:r w:rsidRPr="00692FF3">
        <w:rPr>
          <w:rFonts w:eastAsia="Calibri" w:cs="Arial"/>
          <w:sz w:val="24"/>
          <w:szCs w:val="24"/>
          <w:lang w:val="en-US"/>
        </w:rPr>
        <w:t xml:space="preserve">. After 10 years, the allowable annual cut </w:t>
      </w:r>
      <w:r>
        <w:rPr>
          <w:rFonts w:eastAsia="Calibri" w:cs="Arial"/>
          <w:sz w:val="24"/>
          <w:szCs w:val="24"/>
          <w:lang w:val="en-US"/>
        </w:rPr>
        <w:t>will</w:t>
      </w:r>
      <w:r w:rsidRPr="00692FF3">
        <w:rPr>
          <w:rFonts w:eastAsia="Calibri" w:cs="Arial"/>
          <w:sz w:val="24"/>
          <w:szCs w:val="24"/>
          <w:lang w:val="en-US"/>
        </w:rPr>
        <w:t xml:space="preserve"> be determined by the Chief Forester under Section 8 of the </w:t>
      </w:r>
      <w:r w:rsidRPr="00692FF3">
        <w:rPr>
          <w:rFonts w:eastAsia="Calibri" w:cs="Arial"/>
          <w:i/>
          <w:sz w:val="24"/>
          <w:szCs w:val="24"/>
          <w:lang w:val="en-US"/>
        </w:rPr>
        <w:t>Forest Act</w:t>
      </w:r>
      <w:r w:rsidRPr="00692FF3">
        <w:rPr>
          <w:rFonts w:eastAsia="Calibri" w:cs="Arial"/>
          <w:sz w:val="24"/>
          <w:szCs w:val="24"/>
          <w:lang w:val="en-US"/>
        </w:rPr>
        <w:t>, as is the case in other management units.</w:t>
      </w:r>
    </w:p>
    <w:p w:rsidR="006D6E4E" w:rsidRPr="00692FF3" w:rsidRDefault="006D6E4E" w:rsidP="006D6E4E">
      <w:pPr>
        <w:spacing w:after="160"/>
        <w:rPr>
          <w:rFonts w:eastAsia="Calibri" w:cs="Arial"/>
          <w:sz w:val="24"/>
          <w:szCs w:val="24"/>
          <w:lang w:val="en-US"/>
        </w:rPr>
      </w:pPr>
      <w:r>
        <w:rPr>
          <w:rFonts w:eastAsia="Calibri" w:cs="Arial"/>
          <w:sz w:val="24"/>
          <w:szCs w:val="24"/>
          <w:lang w:val="en-US"/>
        </w:rPr>
        <w:t xml:space="preserve">Under the legislation, </w:t>
      </w:r>
      <w:r w:rsidRPr="00692FF3">
        <w:rPr>
          <w:rFonts w:eastAsia="Calibri" w:cs="Arial"/>
          <w:sz w:val="24"/>
          <w:szCs w:val="24"/>
          <w:lang w:val="en-US"/>
        </w:rPr>
        <w:t>two new timber supply areas (Great Bear Rainforest North TSA and Great Bear Rainforest South TSA)</w:t>
      </w:r>
      <w:r>
        <w:rPr>
          <w:rFonts w:eastAsia="Calibri" w:cs="Arial"/>
          <w:sz w:val="24"/>
          <w:szCs w:val="24"/>
          <w:lang w:val="en-US"/>
        </w:rPr>
        <w:t xml:space="preserve"> will be created</w:t>
      </w:r>
      <w:r w:rsidRPr="00692FF3">
        <w:rPr>
          <w:rFonts w:eastAsia="Calibri" w:cs="Arial"/>
          <w:sz w:val="24"/>
          <w:szCs w:val="24"/>
          <w:lang w:val="en-US"/>
        </w:rPr>
        <w:t>,</w:t>
      </w:r>
      <w:r>
        <w:rPr>
          <w:rFonts w:eastAsia="Calibri" w:cs="Arial"/>
          <w:sz w:val="24"/>
          <w:szCs w:val="24"/>
          <w:lang w:val="en-US"/>
        </w:rPr>
        <w:t xml:space="preserve"> and </w:t>
      </w:r>
      <w:r w:rsidRPr="00692FF3">
        <w:rPr>
          <w:rFonts w:eastAsia="Calibri" w:cs="Arial"/>
          <w:sz w:val="24"/>
          <w:szCs w:val="24"/>
          <w:lang w:val="en-US"/>
        </w:rPr>
        <w:t xml:space="preserve">existing </w:t>
      </w:r>
      <w:r>
        <w:rPr>
          <w:rFonts w:eastAsia="Calibri" w:cs="Arial"/>
          <w:sz w:val="24"/>
          <w:szCs w:val="24"/>
          <w:lang w:val="en-US"/>
        </w:rPr>
        <w:t>TSAs will be reconfigured</w:t>
      </w:r>
      <w:r w:rsidRPr="00692FF3">
        <w:rPr>
          <w:rFonts w:eastAsia="Calibri" w:cs="Arial"/>
          <w:sz w:val="24"/>
          <w:szCs w:val="24"/>
          <w:lang w:val="en-US"/>
        </w:rPr>
        <w:t xml:space="preserve"> (the Vancouver Island portions of the Strathcona and Kingcome TSAs </w:t>
      </w:r>
      <w:r>
        <w:rPr>
          <w:rFonts w:eastAsia="Calibri" w:cs="Arial"/>
          <w:sz w:val="24"/>
          <w:szCs w:val="24"/>
          <w:lang w:val="en-US"/>
        </w:rPr>
        <w:t>will be</w:t>
      </w:r>
      <w:r w:rsidRPr="00692FF3">
        <w:rPr>
          <w:rFonts w:eastAsia="Calibri" w:cs="Arial"/>
          <w:sz w:val="24"/>
          <w:szCs w:val="24"/>
          <w:lang w:val="en-US"/>
        </w:rPr>
        <w:t xml:space="preserve"> amalgamated into a new North Island TSA). </w:t>
      </w:r>
    </w:p>
    <w:p w:rsidR="006D6E4E" w:rsidRPr="00692FF3" w:rsidRDefault="006D6E4E" w:rsidP="006D6E4E">
      <w:pPr>
        <w:spacing w:after="160"/>
        <w:rPr>
          <w:rFonts w:eastAsia="Calibri" w:cs="Arial"/>
          <w:sz w:val="24"/>
          <w:szCs w:val="24"/>
          <w:lang w:val="en-US"/>
        </w:rPr>
      </w:pPr>
      <w:r>
        <w:rPr>
          <w:rFonts w:eastAsia="Calibri" w:cs="Arial"/>
          <w:sz w:val="24"/>
          <w:szCs w:val="24"/>
          <w:lang w:val="en-US"/>
        </w:rPr>
        <w:t>T</w:t>
      </w:r>
      <w:r w:rsidRPr="00692FF3">
        <w:rPr>
          <w:rFonts w:eastAsia="Calibri" w:cs="Arial"/>
          <w:sz w:val="24"/>
          <w:szCs w:val="24"/>
          <w:lang w:val="en-US"/>
        </w:rPr>
        <w:t>he designation of new special forest management areas</w:t>
      </w:r>
      <w:r>
        <w:rPr>
          <w:rFonts w:eastAsia="Calibri" w:cs="Arial"/>
          <w:sz w:val="24"/>
          <w:szCs w:val="24"/>
          <w:lang w:val="en-US"/>
        </w:rPr>
        <w:t xml:space="preserve">, </w:t>
      </w:r>
      <w:r w:rsidRPr="00692FF3">
        <w:rPr>
          <w:rFonts w:eastAsia="Calibri" w:cs="Arial"/>
          <w:sz w:val="24"/>
          <w:szCs w:val="24"/>
          <w:lang w:val="en-US"/>
        </w:rPr>
        <w:t>that prohibit commercial timber harvesting activities while allowing mining, hydroelectric and tourism (subject to their legal review processes)</w:t>
      </w:r>
      <w:r>
        <w:rPr>
          <w:rFonts w:eastAsia="Calibri" w:cs="Arial"/>
          <w:sz w:val="24"/>
          <w:szCs w:val="24"/>
          <w:lang w:val="en-US"/>
        </w:rPr>
        <w:t>, is also enabled under the GBRFMA</w:t>
      </w:r>
      <w:r w:rsidRPr="00692FF3">
        <w:rPr>
          <w:rFonts w:eastAsia="Calibri" w:cs="Arial"/>
          <w:sz w:val="24"/>
          <w:szCs w:val="24"/>
          <w:lang w:val="en-US"/>
        </w:rPr>
        <w:t>.</w:t>
      </w:r>
    </w:p>
    <w:p w:rsidR="006D6E4E" w:rsidRPr="00692FF3" w:rsidRDefault="006D6E4E" w:rsidP="006D6E4E">
      <w:pPr>
        <w:spacing w:after="160"/>
        <w:rPr>
          <w:rFonts w:eastAsia="Calibri" w:cs="Arial"/>
          <w:sz w:val="24"/>
          <w:szCs w:val="24"/>
          <w:lang w:val="en-US"/>
        </w:rPr>
      </w:pPr>
      <w:r>
        <w:rPr>
          <w:rFonts w:eastAsia="Calibri" w:cs="Arial"/>
          <w:sz w:val="24"/>
          <w:szCs w:val="24"/>
          <w:lang w:val="en-US"/>
        </w:rPr>
        <w:t>P</w:t>
      </w:r>
      <w:r w:rsidRPr="00692FF3">
        <w:rPr>
          <w:rFonts w:eastAsia="Calibri" w:cs="Arial"/>
          <w:sz w:val="24"/>
          <w:szCs w:val="24"/>
          <w:lang w:val="en-US"/>
        </w:rPr>
        <w:t>artitions of</w:t>
      </w:r>
      <w:r>
        <w:rPr>
          <w:rFonts w:eastAsia="Calibri" w:cs="Arial"/>
          <w:sz w:val="24"/>
          <w:szCs w:val="24"/>
          <w:lang w:val="en-US"/>
        </w:rPr>
        <w:t xml:space="preserve"> management unit </w:t>
      </w:r>
      <w:r w:rsidRPr="00692FF3">
        <w:rPr>
          <w:rFonts w:eastAsia="Calibri" w:cs="Arial"/>
          <w:sz w:val="24"/>
          <w:szCs w:val="24"/>
          <w:lang w:val="en-US"/>
        </w:rPr>
        <w:t xml:space="preserve">allowable annual cuts </w:t>
      </w:r>
      <w:r>
        <w:rPr>
          <w:rFonts w:eastAsia="Calibri" w:cs="Arial"/>
          <w:sz w:val="24"/>
          <w:szCs w:val="24"/>
          <w:lang w:val="en-US"/>
        </w:rPr>
        <w:t xml:space="preserve">are also enabled </w:t>
      </w:r>
      <w:r w:rsidRPr="00692FF3">
        <w:rPr>
          <w:rFonts w:eastAsia="Calibri" w:cs="Arial"/>
          <w:sz w:val="24"/>
          <w:szCs w:val="24"/>
          <w:lang w:val="en-US"/>
        </w:rPr>
        <w:t>through regulation</w:t>
      </w:r>
      <w:r>
        <w:rPr>
          <w:rFonts w:eastAsia="Calibri" w:cs="Arial"/>
          <w:sz w:val="24"/>
          <w:szCs w:val="24"/>
          <w:lang w:val="en-US"/>
        </w:rPr>
        <w:t xml:space="preserve"> and partition orders may be specified</w:t>
      </w:r>
      <w:r w:rsidRPr="00692FF3">
        <w:rPr>
          <w:rFonts w:eastAsia="Calibri" w:cs="Arial"/>
          <w:sz w:val="24"/>
          <w:szCs w:val="24"/>
          <w:lang w:val="en-US"/>
        </w:rPr>
        <w:t xml:space="preserve"> at the licence</w:t>
      </w:r>
      <w:r>
        <w:rPr>
          <w:rFonts w:eastAsia="Calibri" w:cs="Arial"/>
          <w:sz w:val="24"/>
          <w:szCs w:val="24"/>
          <w:lang w:val="en-US"/>
        </w:rPr>
        <w:t xml:space="preserve"> level.  A unique</w:t>
      </w:r>
      <w:r w:rsidRPr="00692FF3">
        <w:rPr>
          <w:rFonts w:eastAsia="Calibri" w:cs="Arial"/>
          <w:sz w:val="24"/>
          <w:szCs w:val="24"/>
          <w:lang w:val="en-US"/>
        </w:rPr>
        <w:t xml:space="preserve">, </w:t>
      </w:r>
      <w:r>
        <w:rPr>
          <w:rFonts w:eastAsia="Calibri" w:cs="Arial"/>
          <w:sz w:val="24"/>
          <w:szCs w:val="24"/>
          <w:lang w:val="en-US"/>
        </w:rPr>
        <w:t xml:space="preserve">extended (up to </w:t>
      </w:r>
      <w:r w:rsidRPr="00692FF3">
        <w:rPr>
          <w:rFonts w:eastAsia="Calibri" w:cs="Arial"/>
          <w:sz w:val="24"/>
          <w:szCs w:val="24"/>
          <w:lang w:val="en-US"/>
        </w:rPr>
        <w:t>10-year</w:t>
      </w:r>
      <w:r>
        <w:rPr>
          <w:rFonts w:eastAsia="Calibri" w:cs="Arial"/>
          <w:sz w:val="24"/>
          <w:szCs w:val="24"/>
          <w:lang w:val="en-US"/>
        </w:rPr>
        <w:t xml:space="preserve">s) </w:t>
      </w:r>
      <w:r w:rsidRPr="00692FF3">
        <w:rPr>
          <w:rFonts w:eastAsia="Calibri" w:cs="Arial"/>
          <w:sz w:val="24"/>
          <w:szCs w:val="24"/>
          <w:lang w:val="en-US"/>
        </w:rPr>
        <w:t xml:space="preserve">cut control </w:t>
      </w:r>
      <w:r>
        <w:rPr>
          <w:rFonts w:eastAsia="Calibri" w:cs="Arial"/>
          <w:sz w:val="24"/>
          <w:szCs w:val="24"/>
          <w:lang w:val="en-US"/>
        </w:rPr>
        <w:t xml:space="preserve">option will also be made available in </w:t>
      </w:r>
      <w:r w:rsidRPr="00692FF3">
        <w:rPr>
          <w:rFonts w:eastAsia="Calibri" w:cs="Arial"/>
          <w:sz w:val="24"/>
          <w:szCs w:val="24"/>
          <w:lang w:val="en-US"/>
        </w:rPr>
        <w:t xml:space="preserve">the </w:t>
      </w:r>
      <w:r>
        <w:rPr>
          <w:rFonts w:eastAsia="Calibri" w:cs="Arial"/>
          <w:sz w:val="24"/>
          <w:szCs w:val="24"/>
          <w:lang w:val="en-US"/>
        </w:rPr>
        <w:t xml:space="preserve">northern portion of the </w:t>
      </w:r>
      <w:r w:rsidRPr="00692FF3">
        <w:rPr>
          <w:rFonts w:eastAsia="Calibri" w:cs="Arial"/>
          <w:sz w:val="24"/>
          <w:szCs w:val="24"/>
          <w:lang w:val="en-US"/>
        </w:rPr>
        <w:t xml:space="preserve">Great Bear Rainforest. </w:t>
      </w:r>
    </w:p>
    <w:p w:rsidR="006D6E4E" w:rsidRDefault="006D6E4E" w:rsidP="006D6E4E">
      <w:pPr>
        <w:spacing w:after="160"/>
        <w:rPr>
          <w:rFonts w:eastAsia="Calibri" w:cs="Arial"/>
          <w:b/>
          <w:bCs/>
          <w:sz w:val="24"/>
          <w:szCs w:val="24"/>
          <w:u w:val="single"/>
        </w:rPr>
      </w:pPr>
    </w:p>
    <w:p w:rsidR="006D6E4E" w:rsidRDefault="006D6E4E" w:rsidP="006D6E4E">
      <w:pPr>
        <w:spacing w:after="160"/>
        <w:rPr>
          <w:rFonts w:eastAsia="Calibri" w:cs="Arial"/>
          <w:b/>
          <w:bCs/>
          <w:sz w:val="24"/>
          <w:szCs w:val="24"/>
          <w:u w:val="single"/>
        </w:rPr>
      </w:pPr>
    </w:p>
    <w:p w:rsidR="006D6E4E" w:rsidRPr="00692FF3" w:rsidRDefault="006D6E4E" w:rsidP="006D6E4E">
      <w:pPr>
        <w:spacing w:after="160"/>
        <w:rPr>
          <w:rFonts w:eastAsia="Calibri" w:cs="Arial"/>
          <w:b/>
          <w:bCs/>
          <w:sz w:val="24"/>
          <w:szCs w:val="24"/>
          <w:u w:val="single"/>
        </w:rPr>
      </w:pPr>
      <w:r w:rsidRPr="00692FF3">
        <w:rPr>
          <w:rFonts w:eastAsia="Calibri" w:cs="Arial"/>
          <w:b/>
          <w:bCs/>
          <w:sz w:val="24"/>
          <w:szCs w:val="24"/>
          <w:u w:val="single"/>
        </w:rPr>
        <w:t xml:space="preserve">Allowable Annual Cut </w:t>
      </w:r>
    </w:p>
    <w:p w:rsidR="006D6E4E" w:rsidRPr="00BC42E1" w:rsidRDefault="006D6E4E" w:rsidP="006D6E4E">
      <w:pPr>
        <w:spacing w:after="0"/>
        <w:rPr>
          <w:rFonts w:eastAsia="Calibri" w:cs="Arial"/>
          <w:b/>
          <w:bCs/>
          <w:sz w:val="24"/>
          <w:szCs w:val="24"/>
        </w:rPr>
      </w:pPr>
      <w:r w:rsidRPr="00BC42E1">
        <w:rPr>
          <w:rFonts w:eastAsia="Calibri" w:cs="Arial"/>
          <w:b/>
          <w:bCs/>
          <w:sz w:val="24"/>
          <w:szCs w:val="24"/>
        </w:rPr>
        <w:t>What is the maximum AAC?</w:t>
      </w:r>
    </w:p>
    <w:p w:rsidR="006D6E4E" w:rsidRPr="00BC42E1" w:rsidRDefault="006D6E4E" w:rsidP="006D6E4E">
      <w:pPr>
        <w:spacing w:after="160"/>
        <w:rPr>
          <w:rFonts w:eastAsia="Calibri" w:cs="Arial"/>
          <w:sz w:val="24"/>
          <w:szCs w:val="24"/>
        </w:rPr>
      </w:pPr>
      <w:r w:rsidRPr="00BC42E1">
        <w:rPr>
          <w:rFonts w:eastAsia="Calibri" w:cs="Arial"/>
          <w:sz w:val="24"/>
          <w:szCs w:val="24"/>
        </w:rPr>
        <w:t xml:space="preserve">Under the Act, the allowable annual cut for the designated Great Bear Rainforest </w:t>
      </w:r>
      <w:r>
        <w:rPr>
          <w:rFonts w:eastAsia="Calibri" w:cs="Arial"/>
          <w:sz w:val="24"/>
          <w:szCs w:val="24"/>
        </w:rPr>
        <w:t xml:space="preserve">Forest Management </w:t>
      </w:r>
      <w:r w:rsidRPr="00BC42E1">
        <w:rPr>
          <w:rFonts w:eastAsia="Calibri" w:cs="Arial"/>
          <w:sz w:val="24"/>
          <w:szCs w:val="24"/>
        </w:rPr>
        <w:t>Area will be set at 2.5 million cubic metres per year for 10 years – this is a decrease of about 2</w:t>
      </w:r>
      <w:r>
        <w:rPr>
          <w:rFonts w:eastAsia="Calibri" w:cs="Arial"/>
          <w:sz w:val="24"/>
          <w:szCs w:val="24"/>
        </w:rPr>
        <w:t>4</w:t>
      </w:r>
      <w:r w:rsidRPr="00BC42E1">
        <w:rPr>
          <w:rFonts w:eastAsia="Calibri" w:cs="Arial"/>
          <w:sz w:val="24"/>
          <w:szCs w:val="24"/>
        </w:rPr>
        <w:t xml:space="preserve"> % from the existing AAC of about 3.</w:t>
      </w:r>
      <w:r>
        <w:rPr>
          <w:rFonts w:eastAsia="Calibri" w:cs="Arial"/>
          <w:sz w:val="24"/>
          <w:szCs w:val="24"/>
        </w:rPr>
        <w:t>3</w:t>
      </w:r>
      <w:r w:rsidRPr="00BC42E1">
        <w:rPr>
          <w:rFonts w:eastAsia="Calibri" w:cs="Arial"/>
          <w:sz w:val="24"/>
          <w:szCs w:val="24"/>
        </w:rPr>
        <w:t xml:space="preserve"> million cubic metres</w:t>
      </w:r>
      <w:r>
        <w:rPr>
          <w:rFonts w:eastAsia="Calibri" w:cs="Arial"/>
          <w:sz w:val="24"/>
          <w:szCs w:val="24"/>
        </w:rPr>
        <w:t xml:space="preserve"> per </w:t>
      </w:r>
      <w:r w:rsidRPr="00BC42E1">
        <w:rPr>
          <w:rFonts w:eastAsia="Calibri" w:cs="Arial"/>
          <w:sz w:val="24"/>
          <w:szCs w:val="24"/>
        </w:rPr>
        <w:t xml:space="preserve">year. This </w:t>
      </w:r>
      <w:r w:rsidRPr="00BC42E1">
        <w:rPr>
          <w:rFonts w:eastAsia="Calibri" w:cs="Arial"/>
          <w:sz w:val="24"/>
          <w:szCs w:val="24"/>
        </w:rPr>
        <w:lastRenderedPageBreak/>
        <w:t xml:space="preserve">means that the AAC for </w:t>
      </w:r>
      <w:r w:rsidRPr="003C5818">
        <w:rPr>
          <w:rFonts w:eastAsia="Calibri" w:cs="Arial"/>
          <w:i/>
          <w:sz w:val="24"/>
          <w:szCs w:val="24"/>
        </w:rPr>
        <w:t>all</w:t>
      </w:r>
      <w:r w:rsidRPr="00BC42E1">
        <w:rPr>
          <w:rFonts w:eastAsia="Calibri" w:cs="Arial"/>
          <w:sz w:val="24"/>
          <w:szCs w:val="24"/>
        </w:rPr>
        <w:t xml:space="preserve"> the timber supply areas and tree farm licences within the Great Bear Rainforest cannot exceed 2.5 million cubic metres per year.</w:t>
      </w:r>
      <w:r>
        <w:rPr>
          <w:rFonts w:eastAsia="Calibri" w:cs="Arial"/>
          <w:sz w:val="24"/>
          <w:szCs w:val="24"/>
        </w:rPr>
        <w:t xml:space="preserve">  This is a new concept – with an AAC “cap” applying to multiple management unit and parts of management units</w:t>
      </w:r>
    </w:p>
    <w:p w:rsidR="006D6E4E" w:rsidRPr="00BC42E1" w:rsidRDefault="006D6E4E" w:rsidP="006D6E4E">
      <w:pPr>
        <w:spacing w:after="0"/>
        <w:rPr>
          <w:rFonts w:eastAsia="Calibri" w:cs="Arial"/>
          <w:b/>
          <w:sz w:val="24"/>
          <w:szCs w:val="24"/>
        </w:rPr>
      </w:pPr>
      <w:r w:rsidRPr="00BC42E1">
        <w:rPr>
          <w:rFonts w:eastAsia="Calibri" w:cs="Arial"/>
          <w:b/>
          <w:bCs/>
          <w:sz w:val="24"/>
          <w:szCs w:val="24"/>
        </w:rPr>
        <w:t>When does the new AAC take effect?</w:t>
      </w:r>
    </w:p>
    <w:p w:rsidR="006D6E4E" w:rsidRPr="00BC42E1" w:rsidRDefault="006D6E4E" w:rsidP="006D6E4E">
      <w:pPr>
        <w:spacing w:after="160"/>
        <w:rPr>
          <w:rFonts w:eastAsia="Calibri" w:cs="Arial"/>
          <w:sz w:val="24"/>
          <w:szCs w:val="24"/>
        </w:rPr>
      </w:pPr>
      <w:r>
        <w:rPr>
          <w:rFonts w:eastAsia="Calibri" w:cs="Arial"/>
          <w:sz w:val="24"/>
          <w:szCs w:val="24"/>
        </w:rPr>
        <w:t>T</w:t>
      </w:r>
      <w:r w:rsidRPr="00BC42E1">
        <w:rPr>
          <w:rFonts w:eastAsia="Calibri" w:cs="Arial"/>
          <w:sz w:val="24"/>
          <w:szCs w:val="24"/>
        </w:rPr>
        <w:t>he new AAC will come into legal force by regulation later this year</w:t>
      </w:r>
      <w:r>
        <w:rPr>
          <w:rFonts w:eastAsia="Calibri" w:cs="Arial"/>
          <w:sz w:val="24"/>
          <w:szCs w:val="24"/>
        </w:rPr>
        <w:t xml:space="preserve">. </w:t>
      </w:r>
      <w:r w:rsidRPr="00BC42E1">
        <w:rPr>
          <w:rFonts w:eastAsia="Calibri" w:cs="Arial"/>
          <w:sz w:val="24"/>
          <w:szCs w:val="24"/>
        </w:rPr>
        <w:t xml:space="preserve"> </w:t>
      </w:r>
      <w:r>
        <w:rPr>
          <w:rFonts w:eastAsia="Calibri" w:cs="Arial"/>
          <w:sz w:val="24"/>
          <w:szCs w:val="24"/>
        </w:rPr>
        <w:t>H</w:t>
      </w:r>
      <w:r w:rsidRPr="00BC42E1">
        <w:rPr>
          <w:rFonts w:eastAsia="Calibri" w:cs="Arial"/>
          <w:sz w:val="24"/>
          <w:szCs w:val="24"/>
        </w:rPr>
        <w:t xml:space="preserve">arvest levels for the last few years in the Great Bear Rainforest have been averaging </w:t>
      </w:r>
      <w:r>
        <w:rPr>
          <w:rFonts w:eastAsia="Calibri" w:cs="Arial"/>
          <w:sz w:val="24"/>
          <w:szCs w:val="24"/>
        </w:rPr>
        <w:t xml:space="preserve">about </w:t>
      </w:r>
      <w:r w:rsidRPr="00BC42E1">
        <w:rPr>
          <w:rFonts w:eastAsia="Calibri" w:cs="Arial"/>
          <w:sz w:val="24"/>
          <w:szCs w:val="24"/>
        </w:rPr>
        <w:t>2.5 million cubic metres per year.</w:t>
      </w:r>
    </w:p>
    <w:p w:rsidR="006D6E4E" w:rsidRPr="00BC42E1" w:rsidRDefault="006D6E4E" w:rsidP="006D6E4E">
      <w:pPr>
        <w:spacing w:after="0"/>
        <w:rPr>
          <w:rFonts w:eastAsia="Calibri" w:cs="Arial"/>
          <w:b/>
          <w:bCs/>
          <w:sz w:val="24"/>
          <w:szCs w:val="24"/>
          <w:lang w:val="en-US"/>
        </w:rPr>
      </w:pPr>
      <w:r w:rsidRPr="00BC42E1">
        <w:rPr>
          <w:rFonts w:eastAsia="Calibri" w:cs="Arial"/>
          <w:b/>
          <w:bCs/>
          <w:sz w:val="24"/>
          <w:szCs w:val="24"/>
        </w:rPr>
        <w:t>Was the Chief Forester involved in determining the AAC?</w:t>
      </w:r>
    </w:p>
    <w:p w:rsidR="006D6E4E" w:rsidRPr="00692FF3" w:rsidRDefault="006D6E4E" w:rsidP="006D6E4E">
      <w:pPr>
        <w:spacing w:after="160"/>
        <w:rPr>
          <w:rFonts w:eastAsia="Calibri" w:cs="Arial"/>
          <w:sz w:val="24"/>
          <w:szCs w:val="24"/>
        </w:rPr>
      </w:pPr>
      <w:r w:rsidRPr="00692FF3">
        <w:rPr>
          <w:rFonts w:eastAsia="Calibri" w:cs="Arial"/>
          <w:sz w:val="24"/>
          <w:szCs w:val="24"/>
        </w:rPr>
        <w:t>Yes.  The Chief Forester was involved in the forest analysis that contributed to the recommended initial AAC of 2.5 million cubic metres.  The Chief Forester will continue to participate in AAC discussions for the GBR forest management area during the 10-year AAC adjustment period and will resume authority for determining AACs for the area afterwards.</w:t>
      </w:r>
    </w:p>
    <w:p w:rsidR="006D6E4E" w:rsidRPr="00692FF3" w:rsidRDefault="006D6E4E" w:rsidP="006D6E4E">
      <w:pPr>
        <w:spacing w:after="160"/>
        <w:rPr>
          <w:rFonts w:eastAsia="Calibri" w:cs="Arial"/>
          <w:b/>
          <w:sz w:val="24"/>
          <w:szCs w:val="24"/>
          <w:u w:val="single"/>
          <w:lang w:val="en-US"/>
        </w:rPr>
      </w:pPr>
      <w:r w:rsidRPr="00692FF3">
        <w:rPr>
          <w:rFonts w:eastAsia="Calibri" w:cs="Arial"/>
          <w:b/>
          <w:sz w:val="24"/>
          <w:szCs w:val="24"/>
          <w:u w:val="single"/>
          <w:lang w:val="en-US"/>
        </w:rPr>
        <w:t>Management Units</w:t>
      </w:r>
    </w:p>
    <w:p w:rsidR="006D6E4E" w:rsidRPr="00692FF3" w:rsidRDefault="006D6E4E" w:rsidP="006D6E4E">
      <w:pPr>
        <w:spacing w:after="0"/>
        <w:rPr>
          <w:rFonts w:eastAsia="Calibri" w:cs="Arial"/>
          <w:sz w:val="24"/>
          <w:szCs w:val="24"/>
          <w:lang w:val="en-US"/>
        </w:rPr>
      </w:pPr>
      <w:r w:rsidRPr="00692FF3">
        <w:rPr>
          <w:rFonts w:eastAsia="Calibri" w:cs="Arial"/>
          <w:b/>
          <w:sz w:val="24"/>
          <w:szCs w:val="24"/>
          <w:lang w:val="en-US"/>
        </w:rPr>
        <w:t>Which timber supply areas and tree farm licences are within the Great Bear Rainforest?</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The North Coast and Mid Coast timber supply areas are entirely within the Great Bear Rainforest. The Strathcona and Kingcome timber supply areas contain land within the Great Bear Rainforest as well as on Vancouver Island.  Tree Farm Licences 25 (Western), 39 (Western), 63 (</w:t>
      </w:r>
      <w:r>
        <w:rPr>
          <w:rFonts w:eastAsia="Calibri" w:cs="Arial"/>
          <w:sz w:val="24"/>
          <w:szCs w:val="24"/>
          <w:lang w:val="en-US"/>
        </w:rPr>
        <w:t>f</w:t>
      </w:r>
      <w:r w:rsidRPr="00692FF3">
        <w:rPr>
          <w:rFonts w:eastAsia="Calibri" w:cs="Arial"/>
          <w:sz w:val="24"/>
          <w:szCs w:val="24"/>
          <w:lang w:val="en-US"/>
        </w:rPr>
        <w:t>ormerly part of 43 (Kruger)), 45 (Interfor), and 47 (TimberWest), are either entirely or partially within the Great Bear Rainforest.</w:t>
      </w:r>
    </w:p>
    <w:p w:rsidR="006D6E4E" w:rsidRPr="00692FF3" w:rsidRDefault="006D6E4E" w:rsidP="006D6E4E">
      <w:pPr>
        <w:spacing w:after="0"/>
        <w:rPr>
          <w:rFonts w:eastAsia="Calibri" w:cs="Arial"/>
          <w:sz w:val="24"/>
          <w:szCs w:val="24"/>
          <w:lang w:val="en-US"/>
        </w:rPr>
      </w:pPr>
      <w:r w:rsidRPr="00692FF3">
        <w:rPr>
          <w:rFonts w:eastAsia="Calibri" w:cs="Arial"/>
          <w:b/>
          <w:sz w:val="24"/>
          <w:szCs w:val="24"/>
          <w:lang w:val="en-US"/>
        </w:rPr>
        <w:t>Why are you making two TSAs, instead of just one large TSA?</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The creation of two TSAs reflects the difference in the timber profile and economic accessibility between the north and the south.</w:t>
      </w: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Why are regulations needed to adjust the timber supply areas?</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 xml:space="preserve">The new regulations are needed to streamline, simplify and clarify the process of making the adjustments to the timber supply areas. The adjustments to the TSA’s will create the flexibility needed to concurrently manage all of the </w:t>
      </w:r>
      <w:r>
        <w:rPr>
          <w:rFonts w:eastAsia="Calibri" w:cs="Arial"/>
          <w:sz w:val="24"/>
          <w:szCs w:val="24"/>
          <w:lang w:val="en-US"/>
        </w:rPr>
        <w:t>adjustments (i.e., licences) to achieve the negotiated solutions.</w:t>
      </w:r>
    </w:p>
    <w:p w:rsidR="006D6E4E" w:rsidRPr="00692FF3" w:rsidRDefault="006D6E4E" w:rsidP="006D6E4E">
      <w:pPr>
        <w:spacing w:after="0"/>
        <w:rPr>
          <w:rFonts w:eastAsia="Calibri" w:cs="Arial"/>
          <w:sz w:val="24"/>
          <w:szCs w:val="24"/>
          <w:lang w:val="en-US"/>
        </w:rPr>
      </w:pPr>
      <w:r w:rsidRPr="00692FF3">
        <w:rPr>
          <w:rFonts w:eastAsia="Calibri" w:cs="Arial"/>
          <w:b/>
          <w:sz w:val="24"/>
          <w:szCs w:val="24"/>
          <w:lang w:val="en-US"/>
        </w:rPr>
        <w:t>Why are community forest</w:t>
      </w:r>
      <w:r>
        <w:rPr>
          <w:rFonts w:eastAsia="Calibri" w:cs="Arial"/>
          <w:b/>
          <w:sz w:val="24"/>
          <w:szCs w:val="24"/>
          <w:lang w:val="en-US"/>
        </w:rPr>
        <w:t xml:space="preserve"> agreement</w:t>
      </w:r>
      <w:r w:rsidRPr="00692FF3">
        <w:rPr>
          <w:rFonts w:eastAsia="Calibri" w:cs="Arial"/>
          <w:b/>
          <w:sz w:val="24"/>
          <w:szCs w:val="24"/>
          <w:lang w:val="en-US"/>
        </w:rPr>
        <w:t>s</w:t>
      </w:r>
      <w:r>
        <w:rPr>
          <w:rFonts w:eastAsia="Calibri" w:cs="Arial"/>
          <w:b/>
          <w:sz w:val="24"/>
          <w:szCs w:val="24"/>
          <w:lang w:val="en-US"/>
        </w:rPr>
        <w:t>, First Nation woodland licences,</w:t>
      </w:r>
      <w:r w:rsidRPr="00692FF3">
        <w:rPr>
          <w:rFonts w:eastAsia="Calibri" w:cs="Arial"/>
          <w:b/>
          <w:sz w:val="24"/>
          <w:szCs w:val="24"/>
          <w:lang w:val="en-US"/>
        </w:rPr>
        <w:t xml:space="preserve"> and woodlot</w:t>
      </w:r>
      <w:r>
        <w:rPr>
          <w:rFonts w:eastAsia="Calibri" w:cs="Arial"/>
          <w:b/>
          <w:sz w:val="24"/>
          <w:szCs w:val="24"/>
          <w:lang w:val="en-US"/>
        </w:rPr>
        <w:t xml:space="preserve"> licence</w:t>
      </w:r>
      <w:r w:rsidRPr="00692FF3">
        <w:rPr>
          <w:rFonts w:eastAsia="Calibri" w:cs="Arial"/>
          <w:b/>
          <w:sz w:val="24"/>
          <w:szCs w:val="24"/>
          <w:lang w:val="en-US"/>
        </w:rPr>
        <w:t>s exempt from the requirements of the Act and the Land Use Order?</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 xml:space="preserve">These are small area-based tenures with their own AACs and management regimes that are more sensitive to ecological concerns.  These tenure types were also excluded from the previous land use orders. </w:t>
      </w:r>
    </w:p>
    <w:p w:rsidR="006D6E4E" w:rsidRDefault="006D6E4E">
      <w:pPr>
        <w:rPr>
          <w:rFonts w:eastAsia="Calibri" w:cs="Arial"/>
          <w:b/>
          <w:sz w:val="24"/>
          <w:szCs w:val="24"/>
          <w:u w:val="single"/>
          <w:lang w:val="en-US"/>
        </w:rPr>
      </w:pPr>
      <w:r>
        <w:rPr>
          <w:rFonts w:eastAsia="Calibri" w:cs="Arial"/>
          <w:b/>
          <w:sz w:val="24"/>
          <w:szCs w:val="24"/>
          <w:u w:val="single"/>
          <w:lang w:val="en-US"/>
        </w:rPr>
        <w:br w:type="page"/>
      </w:r>
    </w:p>
    <w:p w:rsidR="006D6E4E" w:rsidRPr="00692FF3" w:rsidRDefault="006D6E4E" w:rsidP="006D6E4E">
      <w:pPr>
        <w:spacing w:after="160"/>
        <w:rPr>
          <w:rFonts w:eastAsia="Calibri" w:cs="Arial"/>
          <w:b/>
          <w:sz w:val="24"/>
          <w:szCs w:val="24"/>
          <w:u w:val="single"/>
          <w:lang w:val="en-US"/>
        </w:rPr>
      </w:pPr>
      <w:r w:rsidRPr="00692FF3">
        <w:rPr>
          <w:rFonts w:eastAsia="Calibri" w:cs="Arial"/>
          <w:b/>
          <w:sz w:val="24"/>
          <w:szCs w:val="24"/>
          <w:u w:val="single"/>
          <w:lang w:val="en-US"/>
        </w:rPr>
        <w:lastRenderedPageBreak/>
        <w:t>Allowable Annual Cut Reductions</w:t>
      </w: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Given the overall AAC is going down will each timber supply area and tree farm licence receive a proportionate reduction?</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No. Reductions vary and will consider each management unit’s unique forest profile, including species that grow at different rates, relative amounts of old growth and second growth, amount of timber that is economically available for harvesting, and the special forest management areas.</w:t>
      </w: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Are there licences that are not impacted by the AAC reductions?</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Yes. Licences that will not be impacted by the AAC reductions include:</w:t>
      </w:r>
    </w:p>
    <w:p w:rsidR="006D6E4E" w:rsidRPr="00692FF3" w:rsidRDefault="006D6E4E" w:rsidP="006D6E4E">
      <w:pPr>
        <w:widowControl w:val="0"/>
        <w:numPr>
          <w:ilvl w:val="0"/>
          <w:numId w:val="1"/>
        </w:numPr>
        <w:spacing w:after="0" w:line="259" w:lineRule="auto"/>
        <w:rPr>
          <w:rFonts w:eastAsia="Calibri" w:cs="Arial"/>
          <w:sz w:val="24"/>
          <w:szCs w:val="24"/>
          <w:lang w:val="en-US"/>
        </w:rPr>
      </w:pPr>
      <w:r w:rsidRPr="00692FF3">
        <w:rPr>
          <w:rFonts w:eastAsia="Calibri" w:cs="Arial"/>
          <w:sz w:val="24"/>
          <w:szCs w:val="24"/>
          <w:lang w:val="en-US"/>
        </w:rPr>
        <w:t xml:space="preserve">First Nation licences directly awarded under section 47.3 of the </w:t>
      </w:r>
      <w:r w:rsidRPr="00692FF3">
        <w:rPr>
          <w:rFonts w:eastAsia="Calibri" w:cs="Arial"/>
          <w:i/>
          <w:sz w:val="24"/>
          <w:szCs w:val="24"/>
          <w:lang w:val="en-US"/>
        </w:rPr>
        <w:t>Forest Act;</w:t>
      </w:r>
      <w:r w:rsidRPr="00692FF3">
        <w:rPr>
          <w:rFonts w:eastAsia="Calibri" w:cs="Arial"/>
          <w:sz w:val="24"/>
          <w:szCs w:val="24"/>
          <w:lang w:val="en-US"/>
        </w:rPr>
        <w:t xml:space="preserve">  </w:t>
      </w:r>
    </w:p>
    <w:p w:rsidR="006D6E4E" w:rsidRPr="00692FF3" w:rsidRDefault="006D6E4E" w:rsidP="006D6E4E">
      <w:pPr>
        <w:widowControl w:val="0"/>
        <w:numPr>
          <w:ilvl w:val="0"/>
          <w:numId w:val="1"/>
        </w:numPr>
        <w:spacing w:after="0" w:line="259" w:lineRule="auto"/>
        <w:rPr>
          <w:rFonts w:eastAsia="Calibri" w:cs="Arial"/>
          <w:sz w:val="24"/>
          <w:szCs w:val="24"/>
          <w:lang w:val="en-US"/>
        </w:rPr>
      </w:pPr>
      <w:r w:rsidRPr="00692FF3">
        <w:rPr>
          <w:rFonts w:eastAsia="Calibri" w:cs="Arial"/>
          <w:sz w:val="24"/>
          <w:szCs w:val="24"/>
          <w:lang w:val="en-US"/>
        </w:rPr>
        <w:t xml:space="preserve">Forest licences with an allowable annual cut of 10,000 cubic metres or less; </w:t>
      </w:r>
    </w:p>
    <w:p w:rsidR="006D6E4E" w:rsidRPr="00692FF3" w:rsidRDefault="006D6E4E" w:rsidP="006D6E4E">
      <w:pPr>
        <w:widowControl w:val="0"/>
        <w:numPr>
          <w:ilvl w:val="0"/>
          <w:numId w:val="1"/>
        </w:numPr>
        <w:spacing w:after="0" w:line="259" w:lineRule="auto"/>
        <w:rPr>
          <w:rFonts w:eastAsia="Calibri" w:cs="Arial"/>
          <w:sz w:val="24"/>
          <w:szCs w:val="24"/>
          <w:lang w:val="en-US"/>
        </w:rPr>
      </w:pPr>
      <w:r w:rsidRPr="00692FF3">
        <w:rPr>
          <w:rFonts w:eastAsia="Calibri" w:cs="Arial"/>
          <w:sz w:val="24"/>
          <w:szCs w:val="24"/>
          <w:lang w:val="en-US"/>
        </w:rPr>
        <w:t>The existing first nation woodland licence (issued to Wei Wai Kum First Nation), community forest agreements and woodlot licences; and</w:t>
      </w:r>
    </w:p>
    <w:p w:rsidR="006D6E4E" w:rsidRPr="00692FF3" w:rsidRDefault="006D6E4E" w:rsidP="006D6E4E">
      <w:pPr>
        <w:widowControl w:val="0"/>
        <w:numPr>
          <w:ilvl w:val="0"/>
          <w:numId w:val="1"/>
        </w:numPr>
        <w:spacing w:after="0" w:line="259" w:lineRule="auto"/>
        <w:rPr>
          <w:rFonts w:eastAsia="Calibri" w:cs="Arial"/>
          <w:sz w:val="24"/>
          <w:szCs w:val="24"/>
          <w:lang w:val="en-US"/>
        </w:rPr>
      </w:pPr>
      <w:r w:rsidRPr="00692FF3">
        <w:rPr>
          <w:rFonts w:eastAsia="Calibri" w:cs="Arial"/>
          <w:sz w:val="24"/>
          <w:szCs w:val="24"/>
          <w:lang w:val="en-US"/>
        </w:rPr>
        <w:t>Timber licences, which do not specify allowable annual cuts.</w:t>
      </w:r>
    </w:p>
    <w:p w:rsidR="006D6E4E" w:rsidRPr="00692FF3" w:rsidRDefault="006D6E4E" w:rsidP="006D6E4E">
      <w:pPr>
        <w:widowControl w:val="0"/>
        <w:spacing w:after="0"/>
        <w:ind w:left="720"/>
        <w:rPr>
          <w:rFonts w:eastAsia="Calibri" w:cs="Arial"/>
          <w:sz w:val="24"/>
          <w:szCs w:val="24"/>
          <w:lang w:val="en-US"/>
        </w:rPr>
      </w:pP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How will individual licences be reduced?</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 xml:space="preserve">Reductions for each licence will be specified by regulation expected later this year. </w:t>
      </w:r>
    </w:p>
    <w:p w:rsidR="006D6E4E" w:rsidRPr="00692FF3" w:rsidRDefault="006D6E4E" w:rsidP="006D6E4E">
      <w:pPr>
        <w:spacing w:after="120"/>
        <w:rPr>
          <w:rFonts w:eastAsia="Calibri" w:cs="Arial"/>
          <w:b/>
          <w:sz w:val="24"/>
          <w:szCs w:val="24"/>
          <w:lang w:val="en-US"/>
        </w:rPr>
      </w:pPr>
      <w:r w:rsidRPr="00692FF3">
        <w:rPr>
          <w:rFonts w:eastAsia="Calibri" w:cs="Arial"/>
          <w:b/>
          <w:sz w:val="24"/>
          <w:szCs w:val="24"/>
          <w:lang w:val="en-US"/>
        </w:rPr>
        <w:t>Which licensees operate in the Great Bear Rainforest and are affected by the land use order and the legislation?</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A &amp; A Trading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Bella Bella Asset Holdings Ltd.</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BC Timber Sales</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Da'naxda'xw/ Awaetlala First Nation</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Canadian Overseas Log &amp; Lumber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Gitga’at Forestry Inc.</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Dean Channel Forest Products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Gitxaala Forest Products Ltd.</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Interfor</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Gwa'nak Resources Ltd.</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Kruger Products L.P. Produits Kruger S.E.C.</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Gwawaenuk Tribe Forestry (Kwa-wa-aineuk Timber)</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Lemare Lake Logging (also Lone Tree Logging)</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Homalco Forestry Limited Partnership</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Lions Gate Forest Products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Kitasoo Forest Company Ltd.</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Mill &amp; Timber Products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Kvamua Enterprises Limited Partnership</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Northwest Hardwoods Canada Inc.</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Kwiakah First Nation</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Richmond Plywood Corporation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Metlakatla Forestry Corporation</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Sonora Logging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Lax Kw’alaams Tribal Resources Ltd.</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SWC Holdings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Nanwakolas Forestry Ltd. Partnership</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TFL Forest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Nuxalk Forestry Limited Partnership</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TimberWest Forest Corp.</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Qwe'Qwa'Sot'Em Forestry Ltd. Partnership</w:t>
            </w:r>
          </w:p>
        </w:tc>
      </w:tr>
      <w:tr w:rsidR="006D6E4E" w:rsidRPr="00BC42E1" w:rsidTr="003C5818">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Triumph Timber Ltd.</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T'se'kame Forestry Limited Partnership</w:t>
            </w:r>
          </w:p>
        </w:tc>
      </w:tr>
      <w:tr w:rsidR="006D6E4E" w:rsidRPr="00BC42E1" w:rsidTr="003C5818">
        <w:trPr>
          <w:trHeight w:val="58"/>
        </w:trPr>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Western Forest Products</w:t>
            </w:r>
          </w:p>
        </w:tc>
        <w:tc>
          <w:tcPr>
            <w:tcW w:w="4788" w:type="dxa"/>
            <w:shd w:val="clear" w:color="auto" w:fill="auto"/>
          </w:tcPr>
          <w:p w:rsidR="006D6E4E" w:rsidRPr="00BC42E1" w:rsidRDefault="006D6E4E" w:rsidP="003C5818">
            <w:pPr>
              <w:rPr>
                <w:rFonts w:eastAsia="Calibri" w:cs="Arial"/>
                <w:sz w:val="24"/>
                <w:szCs w:val="24"/>
              </w:rPr>
            </w:pPr>
            <w:r w:rsidRPr="00BC42E1">
              <w:rPr>
                <w:rFonts w:eastAsia="Calibri" w:cs="Arial"/>
                <w:sz w:val="24"/>
                <w:szCs w:val="24"/>
              </w:rPr>
              <w:t>WWK Forestry Limited Partnership</w:t>
            </w:r>
          </w:p>
        </w:tc>
      </w:tr>
    </w:tbl>
    <w:p w:rsidR="006D6E4E" w:rsidRDefault="006D6E4E" w:rsidP="006D6E4E">
      <w:pPr>
        <w:spacing w:after="160"/>
        <w:rPr>
          <w:rFonts w:eastAsia="Calibri" w:cs="Arial"/>
          <w:b/>
          <w:sz w:val="24"/>
          <w:szCs w:val="24"/>
          <w:u w:val="single"/>
          <w:lang w:val="en-US"/>
        </w:rPr>
      </w:pPr>
    </w:p>
    <w:p w:rsidR="006D6E4E" w:rsidRPr="00692FF3" w:rsidRDefault="006D6E4E" w:rsidP="006D6E4E">
      <w:pPr>
        <w:spacing w:after="160"/>
        <w:rPr>
          <w:rFonts w:eastAsia="Calibri" w:cs="Arial"/>
          <w:b/>
          <w:sz w:val="24"/>
          <w:szCs w:val="24"/>
          <w:u w:val="single"/>
          <w:lang w:val="en-US"/>
        </w:rPr>
      </w:pPr>
      <w:r w:rsidRPr="00692FF3">
        <w:rPr>
          <w:rFonts w:eastAsia="Calibri" w:cs="Arial"/>
          <w:b/>
          <w:sz w:val="24"/>
          <w:szCs w:val="24"/>
          <w:u w:val="single"/>
          <w:lang w:val="en-US"/>
        </w:rPr>
        <w:t>Allowable Annual Cut Partitions</w:t>
      </w:r>
    </w:p>
    <w:p w:rsidR="006D6E4E" w:rsidRPr="00692FF3" w:rsidRDefault="006D6E4E" w:rsidP="006D6E4E">
      <w:pPr>
        <w:spacing w:after="0"/>
        <w:rPr>
          <w:rFonts w:eastAsia="Calibri" w:cs="Arial"/>
          <w:sz w:val="24"/>
          <w:szCs w:val="24"/>
          <w:lang w:val="en-US"/>
        </w:rPr>
      </w:pPr>
      <w:r w:rsidRPr="00692FF3">
        <w:rPr>
          <w:rFonts w:eastAsia="Calibri" w:cs="Arial"/>
          <w:b/>
          <w:sz w:val="24"/>
          <w:szCs w:val="24"/>
          <w:lang w:val="en-US"/>
        </w:rPr>
        <w:t>What is the partition making authority under this legislation?</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 xml:space="preserve">Under the </w:t>
      </w:r>
      <w:r w:rsidRPr="00692FF3">
        <w:rPr>
          <w:rFonts w:eastAsia="Calibri" w:cs="Arial"/>
          <w:i/>
          <w:sz w:val="24"/>
          <w:szCs w:val="24"/>
          <w:lang w:val="en-US"/>
        </w:rPr>
        <w:t>Forest Act</w:t>
      </w:r>
      <w:r w:rsidRPr="00692FF3">
        <w:rPr>
          <w:rFonts w:eastAsia="Calibri" w:cs="Arial"/>
          <w:sz w:val="24"/>
          <w:szCs w:val="24"/>
          <w:lang w:val="en-US"/>
        </w:rPr>
        <w:t>, the Chief Forester sets partitions</w:t>
      </w:r>
      <w:r>
        <w:rPr>
          <w:rFonts w:eastAsia="Calibri" w:cs="Arial"/>
          <w:sz w:val="24"/>
          <w:szCs w:val="24"/>
          <w:lang w:val="en-US"/>
        </w:rPr>
        <w:t xml:space="preserve"> of an AAC</w:t>
      </w:r>
      <w:r w:rsidRPr="00692FF3">
        <w:rPr>
          <w:rFonts w:eastAsia="Calibri" w:cs="Arial"/>
          <w:sz w:val="24"/>
          <w:szCs w:val="24"/>
          <w:lang w:val="en-US"/>
        </w:rPr>
        <w:t xml:space="preserve">. However, under the Great Bear Rainforest (Forest Management) Act, partitions will initially be set by regulation – this is consistent with the AACs for each management unit and </w:t>
      </w:r>
      <w:r>
        <w:rPr>
          <w:rFonts w:eastAsia="Calibri" w:cs="Arial"/>
          <w:sz w:val="24"/>
          <w:szCs w:val="24"/>
          <w:lang w:val="en-US"/>
        </w:rPr>
        <w:t xml:space="preserve">for each </w:t>
      </w:r>
      <w:r w:rsidRPr="00692FF3">
        <w:rPr>
          <w:rFonts w:eastAsia="Calibri" w:cs="Arial"/>
          <w:sz w:val="24"/>
          <w:szCs w:val="24"/>
          <w:lang w:val="en-US"/>
        </w:rPr>
        <w:t>licence within the Great Bear Rainforest initially being set by regulation. The Chief Forester will resume all authority for partitions following the 10-year AAC adjustment period.</w:t>
      </w: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Will licensees be compensated for reduced allowable annual cuts associated with the Great Bear Rainforest Land Use Order?</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 xml:space="preserve">No. This follows well-established principles. There is no compensation required for an allowable annual cut reduction associated with land use decisions under the </w:t>
      </w:r>
      <w:r w:rsidRPr="00692FF3">
        <w:rPr>
          <w:rFonts w:eastAsia="Calibri" w:cs="Arial"/>
          <w:i/>
          <w:sz w:val="24"/>
          <w:szCs w:val="24"/>
          <w:lang w:val="en-US"/>
        </w:rPr>
        <w:t>Land Act</w:t>
      </w:r>
      <w:r>
        <w:rPr>
          <w:rFonts w:eastAsia="Calibri" w:cs="Arial"/>
          <w:sz w:val="24"/>
          <w:szCs w:val="24"/>
          <w:lang w:val="en-US"/>
        </w:rPr>
        <w:t xml:space="preserve"> or with normal AAC determinations made under the </w:t>
      </w:r>
      <w:r w:rsidRPr="003C5818">
        <w:rPr>
          <w:rFonts w:eastAsia="Calibri" w:cs="Arial"/>
          <w:i/>
          <w:sz w:val="24"/>
          <w:szCs w:val="24"/>
          <w:lang w:val="en-US"/>
        </w:rPr>
        <w:t>Forest Act</w:t>
      </w:r>
      <w:r>
        <w:rPr>
          <w:rFonts w:eastAsia="Calibri" w:cs="Arial"/>
          <w:sz w:val="24"/>
          <w:szCs w:val="24"/>
          <w:lang w:val="en-US"/>
        </w:rPr>
        <w:t>. Licensees will be compensated for loss of logging rights associated with the creation of special forest management areas.</w:t>
      </w:r>
    </w:p>
    <w:p w:rsidR="006D6E4E" w:rsidRPr="00692FF3" w:rsidRDefault="006D6E4E" w:rsidP="006D6E4E">
      <w:pPr>
        <w:spacing w:after="160"/>
        <w:rPr>
          <w:rFonts w:eastAsia="Calibri" w:cs="Arial"/>
          <w:b/>
          <w:sz w:val="24"/>
          <w:szCs w:val="24"/>
          <w:u w:val="single"/>
          <w:lang w:val="en-US"/>
        </w:rPr>
      </w:pPr>
      <w:r w:rsidRPr="00692FF3">
        <w:rPr>
          <w:rFonts w:eastAsia="Calibri" w:cs="Arial"/>
          <w:b/>
          <w:sz w:val="24"/>
          <w:szCs w:val="24"/>
          <w:u w:val="single"/>
          <w:lang w:val="en-US"/>
        </w:rPr>
        <w:t>Special forest management areas</w:t>
      </w: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How will existing harvesting rights be affected by the special forest management area designation?</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 xml:space="preserve">The allowable annual cut of forest licences impacted by the creation of special forest management areas will be reduced. </w:t>
      </w: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How will commercial harvesting be restricted by the special forest management area designation?</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The special forest management area designation will restrict existing commercial harvesting rights, including issued cutting permits, and will prevent the issuance of new licences or cutting permits for commercial harvesting purposes.</w:t>
      </w:r>
      <w:r>
        <w:rPr>
          <w:rFonts w:eastAsia="Calibri" w:cs="Arial"/>
          <w:sz w:val="24"/>
          <w:szCs w:val="24"/>
          <w:lang w:val="en-US"/>
        </w:rPr>
        <w:t xml:space="preserve"> </w:t>
      </w:r>
      <w:r w:rsidRPr="00692FF3">
        <w:rPr>
          <w:rFonts w:eastAsia="Calibri" w:cs="Arial"/>
          <w:sz w:val="24"/>
          <w:szCs w:val="24"/>
          <w:lang w:val="en-US"/>
        </w:rPr>
        <w:t>The Act establishes the list of licences, agreements and permits that are subject to restricted harvesting rights within a special forest management area.</w:t>
      </w: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Is the ability to refuse road permits a new authority?  Why is it needed?</w:t>
      </w:r>
    </w:p>
    <w:p w:rsidR="006D6E4E" w:rsidRPr="00692FF3" w:rsidRDefault="006D6E4E" w:rsidP="006D6E4E">
      <w:pPr>
        <w:widowControl w:val="0"/>
        <w:spacing w:after="160"/>
        <w:rPr>
          <w:rFonts w:eastAsia="Calibri" w:cs="Arial"/>
          <w:sz w:val="24"/>
          <w:szCs w:val="24"/>
          <w:lang w:val="en-US"/>
        </w:rPr>
      </w:pPr>
      <w:r w:rsidRPr="00692FF3">
        <w:rPr>
          <w:rFonts w:eastAsia="Calibri" w:cs="Arial"/>
          <w:sz w:val="24"/>
          <w:szCs w:val="24"/>
          <w:lang w:val="en-US"/>
        </w:rPr>
        <w:t xml:space="preserve">Yes.  The proposed legislation provides the ability to refuse to issue a road permit within a special forest management area, if the construction and maintenance is considered to significantly impair the management and conservation of the ecology for the area. </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It is anticipated that the new authority will enable government decision-makers to work with tenure holders to ensure that any required roads minimally impair the management and conservation of forest resources in special forest management areas.</w:t>
      </w:r>
    </w:p>
    <w:p w:rsidR="006D6E4E" w:rsidRDefault="006D6E4E">
      <w:pPr>
        <w:rPr>
          <w:rFonts w:eastAsia="Calibri" w:cs="Arial"/>
          <w:b/>
          <w:sz w:val="24"/>
          <w:szCs w:val="24"/>
          <w:u w:val="single"/>
          <w:lang w:val="en-US"/>
        </w:rPr>
      </w:pPr>
      <w:r>
        <w:rPr>
          <w:rFonts w:eastAsia="Calibri" w:cs="Arial"/>
          <w:b/>
          <w:sz w:val="24"/>
          <w:szCs w:val="24"/>
          <w:u w:val="single"/>
          <w:lang w:val="en-US"/>
        </w:rPr>
        <w:br w:type="page"/>
      </w:r>
    </w:p>
    <w:p w:rsidR="006D6E4E" w:rsidRPr="00692FF3" w:rsidRDefault="006D6E4E" w:rsidP="006D6E4E">
      <w:pPr>
        <w:spacing w:after="160"/>
        <w:rPr>
          <w:rFonts w:eastAsia="Calibri" w:cs="Arial"/>
          <w:b/>
          <w:sz w:val="24"/>
          <w:szCs w:val="24"/>
          <w:u w:val="single"/>
          <w:lang w:val="en-US"/>
        </w:rPr>
      </w:pPr>
      <w:r w:rsidRPr="00692FF3">
        <w:rPr>
          <w:rFonts w:eastAsia="Calibri" w:cs="Arial"/>
          <w:b/>
          <w:sz w:val="24"/>
          <w:szCs w:val="24"/>
          <w:u w:val="single"/>
          <w:lang w:val="en-US"/>
        </w:rPr>
        <w:t>Cut control</w:t>
      </w:r>
    </w:p>
    <w:p w:rsidR="006D6E4E" w:rsidRPr="00692FF3" w:rsidRDefault="006D6E4E" w:rsidP="006D6E4E">
      <w:pPr>
        <w:spacing w:after="0"/>
        <w:rPr>
          <w:rFonts w:eastAsia="Calibri" w:cs="Arial"/>
          <w:sz w:val="24"/>
          <w:szCs w:val="24"/>
          <w:lang w:val="en-US"/>
        </w:rPr>
      </w:pPr>
      <w:r w:rsidRPr="00692FF3">
        <w:rPr>
          <w:rFonts w:eastAsia="Calibri" w:cs="Arial"/>
          <w:b/>
          <w:sz w:val="24"/>
          <w:szCs w:val="24"/>
          <w:lang w:val="en-US"/>
        </w:rPr>
        <w:t>Why are you changing the cut control period from 5 years to 10 years and why is this in the northern Great Bear Rainforest only?</w:t>
      </w:r>
    </w:p>
    <w:p w:rsidR="006D6E4E" w:rsidRPr="00692FF3" w:rsidRDefault="006D6E4E" w:rsidP="006D6E4E">
      <w:pPr>
        <w:spacing w:after="160"/>
        <w:rPr>
          <w:rFonts w:eastAsia="Calibri" w:cs="Arial"/>
          <w:sz w:val="24"/>
          <w:szCs w:val="24"/>
          <w:lang w:val="en-US"/>
        </w:rPr>
      </w:pPr>
      <w:r w:rsidRPr="00692FF3">
        <w:rPr>
          <w:rFonts w:eastAsia="Calibri" w:cs="Arial"/>
          <w:sz w:val="24"/>
          <w:szCs w:val="24"/>
          <w:lang w:val="en-US"/>
        </w:rPr>
        <w:t>Forestry is by nature a cyclical industry and harvesting in the northern portion of the GBR is challenging. Extending the cut control period to 10 years will give licensees more flexibility in timing harvesting to optimal market conditions.</w:t>
      </w: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Will you look at extending cut control periods to 10 years in other parts of the province?</w:t>
      </w:r>
    </w:p>
    <w:p w:rsidR="006D6E4E" w:rsidRDefault="006D6E4E" w:rsidP="006D6E4E">
      <w:pPr>
        <w:spacing w:after="160"/>
        <w:rPr>
          <w:rFonts w:eastAsia="Calibri" w:cs="Arial"/>
          <w:sz w:val="24"/>
          <w:szCs w:val="24"/>
          <w:lang w:val="en-US"/>
        </w:rPr>
      </w:pPr>
      <w:r w:rsidRPr="00692FF3">
        <w:rPr>
          <w:rFonts w:eastAsia="Calibri" w:cs="Arial"/>
          <w:sz w:val="24"/>
          <w:szCs w:val="24"/>
          <w:lang w:val="en-US"/>
        </w:rPr>
        <w:t>No.  A 10 year cut control is only being provided in the northern portion of the Great Bear Rainforest as part of the balancing of interests required in the GBR to achieve ecosystem-based forest management and reflects the unique economic issues there.</w:t>
      </w:r>
    </w:p>
    <w:p w:rsidR="006D6E4E" w:rsidRPr="003C5818" w:rsidRDefault="006D6E4E" w:rsidP="006D6E4E">
      <w:pPr>
        <w:spacing w:after="0"/>
        <w:rPr>
          <w:rFonts w:eastAsia="Calibri" w:cs="Arial"/>
          <w:b/>
          <w:sz w:val="24"/>
          <w:szCs w:val="24"/>
          <w:lang w:val="en-US"/>
        </w:rPr>
      </w:pPr>
      <w:r w:rsidRPr="003C5818">
        <w:rPr>
          <w:rFonts w:eastAsia="Calibri" w:cs="Arial"/>
          <w:b/>
          <w:sz w:val="24"/>
          <w:szCs w:val="24"/>
          <w:lang w:val="en-US"/>
        </w:rPr>
        <w:t>What happens if the AAC adjustment puts a licence in an unavoidable overharvest situation?</w:t>
      </w:r>
    </w:p>
    <w:p w:rsidR="006D6E4E" w:rsidRDefault="006D6E4E" w:rsidP="006D6E4E">
      <w:pPr>
        <w:spacing w:after="240"/>
        <w:rPr>
          <w:rFonts w:eastAsia="Calibri" w:cs="Arial"/>
          <w:sz w:val="24"/>
          <w:szCs w:val="24"/>
        </w:rPr>
      </w:pPr>
      <w:r>
        <w:rPr>
          <w:rFonts w:eastAsia="Calibri" w:cs="Arial"/>
          <w:sz w:val="24"/>
          <w:szCs w:val="24"/>
        </w:rPr>
        <w:t xml:space="preserve">Under the legislation the Minister will have the </w:t>
      </w:r>
      <w:r w:rsidRPr="00692FF3">
        <w:rPr>
          <w:rFonts w:eastAsia="Calibri" w:cs="Arial"/>
          <w:sz w:val="24"/>
          <w:szCs w:val="24"/>
        </w:rPr>
        <w:t>ability to grant full or partial relief from a cut control penalty</w:t>
      </w:r>
      <w:r>
        <w:rPr>
          <w:rFonts w:eastAsia="Calibri" w:cs="Arial"/>
          <w:sz w:val="24"/>
          <w:szCs w:val="24"/>
        </w:rPr>
        <w:t xml:space="preserve">.  This provision is based on a similar provision in the </w:t>
      </w:r>
      <w:r w:rsidRPr="003C5818">
        <w:rPr>
          <w:rFonts w:eastAsia="Calibri" w:cs="Arial"/>
          <w:i/>
          <w:sz w:val="24"/>
          <w:szCs w:val="24"/>
        </w:rPr>
        <w:t>Forest Act</w:t>
      </w:r>
      <w:r>
        <w:rPr>
          <w:rFonts w:eastAsia="Calibri" w:cs="Arial"/>
          <w:sz w:val="24"/>
          <w:szCs w:val="24"/>
        </w:rPr>
        <w:t xml:space="preserve"> and </w:t>
      </w:r>
      <w:r w:rsidRPr="00692FF3">
        <w:rPr>
          <w:rFonts w:eastAsia="Calibri" w:cs="Arial"/>
          <w:sz w:val="24"/>
          <w:szCs w:val="24"/>
        </w:rPr>
        <w:t>provides a reasonable safety valve, should the licensees find themselves facing cut control penalties where a contributing factor was caused by a change under the Act that was beyond their control, and for which they could not have planned, such as an AAC reduction that is lower than the volume already harvested.</w:t>
      </w:r>
    </w:p>
    <w:p w:rsidR="006D6E4E" w:rsidRPr="00692FF3" w:rsidRDefault="006D6E4E" w:rsidP="006D6E4E">
      <w:pPr>
        <w:spacing w:after="160"/>
        <w:rPr>
          <w:rFonts w:eastAsia="Calibri" w:cs="Arial"/>
          <w:b/>
          <w:sz w:val="24"/>
          <w:szCs w:val="24"/>
          <w:u w:val="single"/>
          <w:lang w:val="en-US"/>
        </w:rPr>
      </w:pPr>
      <w:r w:rsidRPr="00692FF3">
        <w:rPr>
          <w:rFonts w:eastAsia="Calibri" w:cs="Arial"/>
          <w:b/>
          <w:sz w:val="24"/>
          <w:szCs w:val="24"/>
          <w:u w:val="single"/>
          <w:lang w:val="en-US"/>
        </w:rPr>
        <w:t>Regulations</w:t>
      </w:r>
    </w:p>
    <w:p w:rsidR="006D6E4E" w:rsidRPr="00692FF3" w:rsidRDefault="006D6E4E" w:rsidP="006D6E4E">
      <w:pPr>
        <w:spacing w:after="0"/>
        <w:rPr>
          <w:rFonts w:eastAsia="Calibri" w:cs="Arial"/>
          <w:b/>
          <w:sz w:val="24"/>
          <w:szCs w:val="24"/>
          <w:lang w:val="en-US"/>
        </w:rPr>
      </w:pPr>
      <w:r w:rsidRPr="00692FF3">
        <w:rPr>
          <w:rFonts w:eastAsia="Calibri" w:cs="Arial"/>
          <w:b/>
          <w:sz w:val="24"/>
          <w:szCs w:val="24"/>
          <w:lang w:val="en-US"/>
        </w:rPr>
        <w:t xml:space="preserve">Why is the ability to make regulations with regard to the </w:t>
      </w:r>
      <w:r w:rsidRPr="00692FF3">
        <w:rPr>
          <w:rFonts w:eastAsia="Calibri" w:cs="Arial"/>
          <w:b/>
          <w:i/>
          <w:sz w:val="24"/>
          <w:szCs w:val="24"/>
          <w:lang w:val="en-US"/>
        </w:rPr>
        <w:t>Forest and Range Practices Act</w:t>
      </w:r>
      <w:r w:rsidRPr="00692FF3">
        <w:rPr>
          <w:rFonts w:eastAsia="Calibri" w:cs="Arial"/>
          <w:b/>
          <w:sz w:val="24"/>
          <w:szCs w:val="24"/>
          <w:lang w:val="en-US"/>
        </w:rPr>
        <w:t xml:space="preserve"> needed under this Act?</w:t>
      </w:r>
    </w:p>
    <w:p w:rsidR="00CC37A6" w:rsidRDefault="006D6E4E" w:rsidP="006D6E4E">
      <w:r w:rsidRPr="00692FF3">
        <w:rPr>
          <w:rFonts w:eastAsia="Calibri" w:cs="Arial"/>
          <w:sz w:val="24"/>
          <w:szCs w:val="24"/>
          <w:lang w:val="en-US"/>
        </w:rPr>
        <w:t xml:space="preserve">The Great Bear Rainforest is a unique area and requires unique solutions. In implementing ecosystem-based management, some of the requirements are different than those that exist under the </w:t>
      </w:r>
      <w:r w:rsidRPr="00692FF3">
        <w:rPr>
          <w:rFonts w:eastAsia="Calibri" w:cs="Arial"/>
          <w:i/>
          <w:sz w:val="24"/>
          <w:szCs w:val="24"/>
          <w:lang w:val="en-US"/>
        </w:rPr>
        <w:t xml:space="preserve">Forest and Range Practices Act </w:t>
      </w:r>
      <w:r w:rsidRPr="00692FF3">
        <w:rPr>
          <w:rFonts w:eastAsia="Calibri" w:cs="Arial"/>
          <w:sz w:val="24"/>
          <w:szCs w:val="24"/>
          <w:lang w:val="en-US"/>
        </w:rPr>
        <w:t>and regulations, so additional regulatory authority is required under the GBR</w:t>
      </w:r>
      <w:r>
        <w:rPr>
          <w:rFonts w:eastAsia="Calibri" w:cs="Arial"/>
          <w:sz w:val="24"/>
          <w:szCs w:val="24"/>
          <w:lang w:val="en-US"/>
        </w:rPr>
        <w:t>FMA</w:t>
      </w:r>
      <w:r w:rsidRPr="00692FF3">
        <w:rPr>
          <w:rFonts w:eastAsia="Calibri" w:cs="Arial"/>
          <w:sz w:val="24"/>
          <w:szCs w:val="24"/>
          <w:lang w:val="en-US"/>
        </w:rPr>
        <w:t>.</w:t>
      </w:r>
    </w:p>
    <w:sectPr w:rsidR="00CC37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A7A87"/>
    <w:multiLevelType w:val="hybridMultilevel"/>
    <w:tmpl w:val="C77A45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E4E"/>
    <w:rsid w:val="0010103C"/>
    <w:rsid w:val="006D6E4E"/>
    <w:rsid w:val="00AF284B"/>
    <w:rsid w:val="00CC37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E4E"/>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6D6E4E"/>
    <w:rPr>
      <w:rFonts w:cs="Times New Roman"/>
      <w:sz w:val="16"/>
      <w:szCs w:val="16"/>
    </w:rPr>
  </w:style>
  <w:style w:type="paragraph" w:styleId="CommentText">
    <w:name w:val="annotation text"/>
    <w:basedOn w:val="Normal"/>
    <w:link w:val="CommentTextChar"/>
    <w:uiPriority w:val="99"/>
    <w:semiHidden/>
    <w:rsid w:val="006D6E4E"/>
    <w:rPr>
      <w:sz w:val="20"/>
      <w:szCs w:val="20"/>
    </w:rPr>
  </w:style>
  <w:style w:type="character" w:customStyle="1" w:styleId="CommentTextChar">
    <w:name w:val="Comment Text Char"/>
    <w:basedOn w:val="DefaultParagraphFont"/>
    <w:link w:val="CommentText"/>
    <w:uiPriority w:val="99"/>
    <w:semiHidden/>
    <w:rsid w:val="006D6E4E"/>
    <w:rPr>
      <w:rFonts w:ascii="Calibri" w:eastAsia="Times New Roman" w:hAnsi="Calibri" w:cs="Times New Roman"/>
      <w:sz w:val="20"/>
      <w:szCs w:val="20"/>
    </w:rPr>
  </w:style>
  <w:style w:type="table" w:styleId="TableGrid">
    <w:name w:val="Table Grid"/>
    <w:basedOn w:val="TableNormal"/>
    <w:rsid w:val="006D6E4E"/>
    <w:pPr>
      <w:spacing w:after="0" w:line="240" w:lineRule="auto"/>
    </w:pPr>
    <w:rPr>
      <w:rFonts w:ascii="Calibri" w:eastAsia="Calibri" w:hAnsi="Calibri"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6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E4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E4E"/>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6D6E4E"/>
    <w:rPr>
      <w:rFonts w:cs="Times New Roman"/>
      <w:sz w:val="16"/>
      <w:szCs w:val="16"/>
    </w:rPr>
  </w:style>
  <w:style w:type="paragraph" w:styleId="CommentText">
    <w:name w:val="annotation text"/>
    <w:basedOn w:val="Normal"/>
    <w:link w:val="CommentTextChar"/>
    <w:uiPriority w:val="99"/>
    <w:semiHidden/>
    <w:rsid w:val="006D6E4E"/>
    <w:rPr>
      <w:sz w:val="20"/>
      <w:szCs w:val="20"/>
    </w:rPr>
  </w:style>
  <w:style w:type="character" w:customStyle="1" w:styleId="CommentTextChar">
    <w:name w:val="Comment Text Char"/>
    <w:basedOn w:val="DefaultParagraphFont"/>
    <w:link w:val="CommentText"/>
    <w:uiPriority w:val="99"/>
    <w:semiHidden/>
    <w:rsid w:val="006D6E4E"/>
    <w:rPr>
      <w:rFonts w:ascii="Calibri" w:eastAsia="Times New Roman" w:hAnsi="Calibri" w:cs="Times New Roman"/>
      <w:sz w:val="20"/>
      <w:szCs w:val="20"/>
    </w:rPr>
  </w:style>
  <w:style w:type="table" w:styleId="TableGrid">
    <w:name w:val="Table Grid"/>
    <w:basedOn w:val="TableNormal"/>
    <w:rsid w:val="006D6E4E"/>
    <w:pPr>
      <w:spacing w:after="0" w:line="240" w:lineRule="auto"/>
    </w:pPr>
    <w:rPr>
      <w:rFonts w:ascii="Calibri" w:eastAsia="Calibri" w:hAnsi="Calibri"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6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E4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1560</Words>
  <Characters>8898</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Gwilt, Gary FLNR:EX</dc:creator>
  <cp:lastModifiedBy>Rowan, Chuck A FLNR:EX</cp:lastModifiedBy>
  <cp:revision>2</cp:revision>
  <dcterms:created xsi:type="dcterms:W3CDTF">2016-05-16T17:54:00Z</dcterms:created>
  <dcterms:modified xsi:type="dcterms:W3CDTF">2016-05-16T17:54:00Z</dcterms:modified>
</cp:coreProperties>
</file>